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168"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Извещение о проведении электронного аукциона на право заключения договора аренды земельного участка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right="168"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right="168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Департамент имущественных и земельных отношений администрации Старооскольского городского округа (организатор аукциона) во исполнение постановления админ</w:t>
      </w:r>
      <w:r>
        <w:rPr>
          <w:sz w:val="24"/>
          <w:szCs w:val="24"/>
        </w:rPr>
        <w:t xml:space="preserve">истрации </w:t>
      </w:r>
      <w:r>
        <w:rPr>
          <w:sz w:val="24"/>
          <w:szCs w:val="24"/>
        </w:rPr>
        <w:t xml:space="preserve">Старооскольского городского округа Белгородской области </w:t>
      </w:r>
      <w:r>
        <w:rPr>
          <w:color w:val="000000" w:themeColor="text1"/>
          <w:sz w:val="24"/>
          <w:szCs w:val="24"/>
        </w:rPr>
        <w:t xml:space="preserve">от 16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апреля 2026 года № </w:t>
      </w:r>
      <w:r>
        <w:rPr>
          <w:color w:val="000000" w:themeColor="text1"/>
          <w:sz w:val="24"/>
          <w:szCs w:val="24"/>
        </w:rPr>
        <w:t xml:space="preserve">1193 </w:t>
      </w:r>
      <w:r>
        <w:rPr>
          <w:color w:val="000000" w:themeColor="text1"/>
          <w:sz w:val="24"/>
          <w:szCs w:val="24"/>
        </w:rPr>
        <w:t xml:space="preserve">«О </w:t>
      </w:r>
      <w:r>
        <w:rPr>
          <w:sz w:val="24"/>
          <w:szCs w:val="24"/>
        </w:rPr>
        <w:t xml:space="preserve">проведении электронного аукциона на право заключения договора аренды земельного участка, расположенного по адресу: </w:t>
      </w:r>
      <w:r>
        <w:rPr>
          <w:b w:val="0"/>
          <w:bCs w:val="0"/>
          <w:sz w:val="24"/>
          <w:szCs w:val="24"/>
        </w:rPr>
        <w:t xml:space="preserve">Российская Федерация, Белгородская область, Старооскольский городской округ, </w:t>
      </w:r>
      <w:r>
        <w:rPr>
          <w:b w:val="0"/>
          <w:bCs w:val="0"/>
          <w:sz w:val="24"/>
          <w:szCs w:val="24"/>
        </w:rPr>
        <w:t xml:space="preserve">город Старый Оскол, станция Котел, промузел, площадка Транспортная, проезд М-1, № 1л</w:t>
      </w:r>
      <w:r>
        <w:rPr>
          <w:color w:val="000000"/>
          <w:sz w:val="24"/>
          <w:szCs w:val="24"/>
        </w:rPr>
        <w:t xml:space="preserve">»</w:t>
      </w:r>
      <w:r>
        <w:rPr>
          <w:sz w:val="24"/>
          <w:szCs w:val="24"/>
        </w:rPr>
        <w:t xml:space="preserve"> сообщает о проведении открытого аукциона в электронной форме по продаже права на заключение договора аренды земельного участка: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168"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637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3169"/>
        <w:gridCol w:w="5952"/>
      </w:tblGrid>
      <w:tr>
        <w:tblPrEx/>
        <w:trPr>
          <w:trHeight w:val="364"/>
        </w:trPr>
        <w:tc>
          <w:tcPr>
            <w:gridSpan w:val="3"/>
            <w:tcW w:w="963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проведения торгов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364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 проведения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Аукцион в электронной форме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64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Сайт размещения извещения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hyperlink r:id="rId14" w:tooltip="https://torgi.gov.ru/new/" w:history="1">
              <w:r>
                <w:rPr>
                  <w:rStyle w:val="871"/>
                  <w:sz w:val="24"/>
                  <w:szCs w:val="24"/>
                </w:rPr>
                <w:t xml:space="preserve">https://torgi.gov.ru/new/</w:t>
              </w:r>
            </w:hyperlink>
            <w:r>
              <w:rPr>
                <w:sz w:val="24"/>
                <w:szCs w:val="24"/>
              </w:rPr>
              <w:t xml:space="preserve">, </w:t>
            </w:r>
            <w:hyperlink r:id="rId15" w:tooltip="http://utp.sberbank-ast.ru" w:history="1">
              <w:r>
                <w:rPr>
                  <w:rStyle w:val="871"/>
                  <w:sz w:val="24"/>
                  <w:szCs w:val="24"/>
                </w:rPr>
                <w:t xml:space="preserve">http://utp.sberbank-ast.ru</w:t>
              </w:r>
            </w:hyperlink>
            <w:r>
              <w:rPr>
                <w:sz w:val="24"/>
                <w:szCs w:val="24"/>
              </w:rPr>
              <w:t xml:space="preserve">, </w:t>
            </w:r>
            <w:hyperlink r:id="rId16" w:tooltip="https://oskolregion.gosuslugi.ru/" w:history="1">
              <w:r>
                <w:rPr>
                  <w:rStyle w:val="871"/>
                  <w:sz w:val="24"/>
                  <w:szCs w:val="24"/>
                </w:rPr>
                <w:t xml:space="preserve">https://oskolregion.gosuslugi.ru/</w:t>
              </w:r>
            </w:hyperlink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64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лотов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64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 (состав участников)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Открытый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64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 (форма) подачи предложений о цене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Открытый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64"/>
        </w:trPr>
        <w:tc>
          <w:tcPr>
            <w:gridSpan w:val="3"/>
            <w:tcW w:w="963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Организатор аукциона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64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Уполномоченный орган (далее - Организатор)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Департамент имущественных и земельных отношений администрации Старооскольского городского округа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64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нахождения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309514, г. Старый Оскол, Белгородская область, ул  Ленина, д. 82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64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Почтовый адрес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309514, г. Старый Оскол, Белгородская область, ул  Ленина, д. 82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64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электронной почты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vMerge w:val="restart"/>
            <w:textDirection w:val="lrTb"/>
            <w:noWrap w:val="false"/>
          </w:tcPr>
          <w:p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hyperlink r:id="rId17" w:tooltip="mailto:dizo@so.belregion.ru," w:history="1">
              <w:r>
                <w:rPr>
                  <w:rStyle w:val="871"/>
                  <w:sz w:val="24"/>
                  <w:szCs w:val="24"/>
                  <w:lang w:val="en-US"/>
                </w:rPr>
                <w:t xml:space="preserve">dizo</w:t>
              </w:r>
              <w:r>
                <w:rPr>
                  <w:rStyle w:val="871"/>
                  <w:sz w:val="24"/>
                  <w:szCs w:val="24"/>
                </w:rPr>
                <w:t xml:space="preserve">@</w:t>
              </w:r>
              <w:r>
                <w:rPr>
                  <w:rStyle w:val="871"/>
                  <w:sz w:val="24"/>
                  <w:szCs w:val="24"/>
                  <w:lang w:val="en-US"/>
                </w:rPr>
                <w:t xml:space="preserve">so</w:t>
              </w:r>
              <w:r>
                <w:rPr>
                  <w:rStyle w:val="871"/>
                  <w:sz w:val="24"/>
                  <w:szCs w:val="24"/>
                </w:rPr>
                <w:t xml:space="preserve">.</w:t>
              </w:r>
              <w:r>
                <w:rPr>
                  <w:rStyle w:val="871"/>
                  <w:sz w:val="24"/>
                  <w:szCs w:val="24"/>
                  <w:lang w:val="en-US"/>
                </w:rPr>
                <w:t xml:space="preserve">belregion</w:t>
              </w:r>
              <w:r>
                <w:rPr>
                  <w:rStyle w:val="871"/>
                  <w:sz w:val="24"/>
                  <w:szCs w:val="24"/>
                </w:rPr>
                <w:t xml:space="preserve">.</w:t>
              </w:r>
              <w:r>
                <w:rPr>
                  <w:rStyle w:val="871"/>
                  <w:sz w:val="24"/>
                  <w:szCs w:val="24"/>
                  <w:lang w:val="en-US"/>
                </w:rPr>
                <w:t xml:space="preserve">ru</w:t>
              </w:r>
              <w:r>
                <w:rPr>
                  <w:rStyle w:val="871"/>
                  <w:sz w:val="24"/>
                  <w:szCs w:val="24"/>
                </w:rPr>
                <w:t xml:space="preserve">,</w:t>
              </w:r>
            </w:hyperlink>
            <w:r>
              <w:rPr>
                <w:sz w:val="24"/>
                <w:szCs w:val="24"/>
              </w:rPr>
              <w:t xml:space="preserve"> </w:t>
            </w:r>
            <w:hyperlink r:id="rId18" w:tooltip="mailto:445624@bk.ru" w:history="1">
              <w:r>
                <w:rPr>
                  <w:rStyle w:val="871"/>
                  <w:sz w:val="24"/>
                  <w:szCs w:val="24"/>
                </w:rPr>
                <w:t xml:space="preserve">445624@</w:t>
              </w:r>
              <w:r>
                <w:rPr>
                  <w:rStyle w:val="871"/>
                  <w:sz w:val="24"/>
                  <w:szCs w:val="24"/>
                  <w:lang w:val="en-US"/>
                </w:rPr>
                <w:t xml:space="preserve">bk</w:t>
              </w:r>
              <w:r>
                <w:rPr>
                  <w:rStyle w:val="871"/>
                  <w:sz w:val="24"/>
                  <w:szCs w:val="24"/>
                </w:rPr>
                <w:t xml:space="preserve">.</w:t>
              </w:r>
              <w:r>
                <w:rPr>
                  <w:rStyle w:val="871"/>
                  <w:sz w:val="24"/>
                  <w:szCs w:val="24"/>
                  <w:lang w:val="en-US"/>
                </w:rPr>
                <w:t xml:space="preserve">ru</w:t>
              </w:r>
            </w:hyperlink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(4725) 39-52-60, 39-52-65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Контактное лицо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Маклакова Ирина Николаевна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gridSpan w:val="3"/>
            <w:tcW w:w="963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Предмет аукциона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364"/>
        </w:trPr>
        <w:tc>
          <w:tcPr>
            <w:tcW w:w="51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Предмет аукциона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Право на заключение договора аренды земельного участка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53"/>
        </w:trPr>
        <w:tc>
          <w:tcPr>
            <w:tcW w:w="51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Кадастровый номер земельного участка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31:06:0401003:500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770"/>
        </w:trPr>
        <w:tc>
          <w:tcPr>
            <w:tcW w:w="51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Местоположение земельного участка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Российская Федерация, Белгородская область, Старооскольский городской округ, </w:t>
            </w:r>
            <w:r>
              <w:rPr>
                <w:b w:val="0"/>
                <w:bCs w:val="0"/>
                <w:sz w:val="24"/>
                <w:szCs w:val="24"/>
              </w:rPr>
              <w:t xml:space="preserve">город Старый Оскол, станция Котел, промузел, площадка Транспортная, проезд М-1, № 1л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51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Категория земель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Земли населенных пунктов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51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Разрешенное использование земельного участка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строительства складов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57"/>
        </w:trPr>
        <w:tc>
          <w:tcPr>
            <w:tcW w:w="51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земельного участка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3138,0 кв.м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63"/>
        </w:trPr>
        <w:tc>
          <w:tcPr>
            <w:tcW w:w="51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</w:t>
            </w:r>
            <w:r>
              <w:rPr>
                <w:color w:val="000000" w:themeColor="text1"/>
                <w:sz w:val="24"/>
                <w:szCs w:val="24"/>
              </w:rPr>
              <w:t xml:space="preserve">бременения (ограничения в использовании) земельного участка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5952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tabs>
                <w:tab w:val="left" w:pos="900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63"/>
        </w:trPr>
        <w:tc>
          <w:tcPr>
            <w:tcW w:w="51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Срок аренды земельного участка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5952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4 (четыре)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года 10 (десять)</w:t>
            </w:r>
            <w:r>
              <w:rPr>
                <w:color w:val="000000" w:themeColor="text1"/>
                <w:sz w:val="24"/>
                <w:szCs w:val="24"/>
              </w:rPr>
              <w:t xml:space="preserve"> месяцев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1574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/>
              <w:shd w:val="clear" w:color="ffffff" w:fill="ffffff"/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Градостроительный план земельного участка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</w:rPr>
              <w:t xml:space="preserve">(за исключением случаев, если в соответствии с основным видом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left="0" w:right="0" w:firstLine="0"/>
              <w:jc w:val="both"/>
              <w:spacing w:before="0" w:after="0"/>
              <w:shd w:val="clear" w:color="ffffff" w:fill="ffffff"/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</w:rPr>
              <w:t xml:space="preserve">разрешенного использования земельного участка предусматривается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</w:rPr>
              <w:t xml:space="preserve">возможность строительства зданий, сооружений)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W w:w="5952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В соответствии с приложением к настоящему извещению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Технические условия подключения (технологического присоединения)</w:t>
            </w:r>
            <w:r>
              <w:rPr>
                <w:sz w:val="24"/>
                <w:szCs w:val="24"/>
              </w:rPr>
              <w:t xml:space="preserve"> объекта к сетям инженерно-технического обеспечения: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соответствии с п. 9 градостроительного плана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vMerge w:val="restart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Порядок осмотра земельного участка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</w:r>
          </w:p>
        </w:tc>
        <w:tc>
          <w:tcPr>
            <w:tcW w:w="5952" w:type="dxa"/>
            <w:vMerge w:val="restart"/>
            <w:textDirection w:val="lrTb"/>
            <w:noWrap w:val="false"/>
          </w:tcPr>
          <w:p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Земельный участок прошел процедуру кадастрового учета, осмотр на местности производится претендентами в любое время самостоятельно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gridSpan w:val="3"/>
            <w:tcW w:w="963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Начальная цена, шаг аукциона и задаток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573"/>
        </w:trPr>
        <w:tc>
          <w:tcPr>
            <w:tcW w:w="51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Начальная цена предмета аукциона 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230520,00</w:t>
            </w:r>
            <w:r>
              <w:rPr>
                <w:sz w:val="24"/>
                <w:szCs w:val="24"/>
              </w:rPr>
              <w:t xml:space="preserve"> рублей, без учета НДС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W w:w="51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Шаг аукциона                     (5% начальной цены)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11526,00</w:t>
            </w:r>
            <w:r>
              <w:rPr>
                <w:sz w:val="24"/>
                <w:szCs w:val="24"/>
              </w:rPr>
              <w:t xml:space="preserve"> рублей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51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Размер задатка                (100% начальной цены)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tcW w:w="595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230520,00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 рублей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Размер платы, взимаемой </w:t>
            </w:r>
            <w:r>
              <w:rPr>
                <w:sz w:val="24"/>
                <w:szCs w:val="24"/>
              </w:rPr>
              <w:t xml:space="preserve">электронной площадкой с победителя электронного аукциона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Плата c победителя электронного аукциона оператору </w:t>
            </w:r>
            <w:r>
              <w:rPr>
                <w:spacing w:val="-6"/>
                <w:sz w:val="24"/>
                <w:szCs w:val="24"/>
              </w:rPr>
              <w:t xml:space="preserve">электронной площадки за участие в электронном аукционе не взимается.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Порядок внесения и возврата задатка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vMerge w:val="restart"/>
            <w:textDirection w:val="lrTb"/>
            <w:noWrap w:val="false"/>
          </w:tcPr>
          <w:p>
            <w:pPr>
              <w:jc w:val="both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Порядок внесения задатка определяется регламентом работы электронной площадки </w:t>
            </w:r>
            <w:r>
              <w:rPr>
                <w:sz w:val="24"/>
                <w:szCs w:val="24"/>
              </w:rPr>
              <w:t xml:space="preserve">АО «Сбербанк-АСТ» </w:t>
            </w:r>
            <w:r>
              <w:rPr>
                <w:sz w:val="24"/>
                <w:szCs w:val="24"/>
              </w:rPr>
              <w:t xml:space="preserve">(</w:t>
            </w:r>
            <w:hyperlink r:id="rId19" w:tooltip="http://utp.sberbank-ast.ru" w:history="1">
              <w:r>
                <w:rPr>
                  <w:rStyle w:val="871"/>
                  <w:sz w:val="24"/>
                  <w:szCs w:val="24"/>
                </w:rPr>
                <w:t xml:space="preserve">http://utp.sberbank-ast.ru</w:t>
              </w:r>
            </w:hyperlink>
            <w:r>
              <w:rPr>
                <w:sz w:val="24"/>
                <w:szCs w:val="24"/>
              </w:rPr>
              <w:t xml:space="preserve"> )</w:t>
            </w:r>
            <w:r>
              <w:rPr>
                <w:spacing w:val="-6"/>
                <w:sz w:val="24"/>
                <w:szCs w:val="24"/>
              </w:rPr>
            </w:r>
            <w:r>
              <w:rPr>
                <w:spacing w:val="-6"/>
                <w:sz w:val="24"/>
                <w:szCs w:val="24"/>
              </w:rPr>
            </w:r>
          </w:p>
          <w:p>
            <w:pPr>
              <w:jc w:val="both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С момента перечисления претендентом задатка, договор о задатке считается заключенным в установленном порядке.</w:t>
            </w:r>
            <w:r>
              <w:rPr>
                <w:spacing w:val="-6"/>
                <w:sz w:val="24"/>
                <w:szCs w:val="24"/>
              </w:rPr>
            </w:r>
            <w:r>
              <w:rPr>
                <w:spacing w:val="-6"/>
                <w:sz w:val="24"/>
                <w:szCs w:val="24"/>
              </w:rPr>
            </w:r>
          </w:p>
          <w:p>
            <w:pPr>
              <w:jc w:val="both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Д</w:t>
            </w:r>
            <w:r>
              <w:rPr>
                <w:spacing w:val="-6"/>
                <w:sz w:val="24"/>
                <w:szCs w:val="24"/>
              </w:rPr>
              <w:t xml:space="preserve">анное сообщение является публичной офертой для заключения договора о задатке в соответствии со статьей 437 ГК РФ, а подача претендентом заявки и перечисления задатка являются акцептом такой оферты, после чего договор о задатке считается заключенным в устан</w:t>
            </w:r>
            <w:r>
              <w:rPr>
                <w:spacing w:val="-6"/>
                <w:sz w:val="24"/>
                <w:szCs w:val="24"/>
              </w:rPr>
              <w:t xml:space="preserve">овленном порядке.</w:t>
            </w:r>
            <w:r>
              <w:rPr>
                <w:spacing w:val="-6"/>
                <w:sz w:val="24"/>
                <w:szCs w:val="24"/>
              </w:rPr>
            </w:r>
            <w:r>
              <w:rPr>
                <w:spacing w:val="-6"/>
                <w:sz w:val="24"/>
                <w:szCs w:val="24"/>
              </w:rPr>
            </w:r>
          </w:p>
          <w:p>
            <w:pPr>
              <w:jc w:val="both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Возврат задатка осуществляется в порядке установленном действующим законодательством</w:t>
            </w:r>
            <w:r>
              <w:rPr>
                <w:spacing w:val="-6"/>
                <w:sz w:val="24"/>
                <w:szCs w:val="24"/>
              </w:rPr>
            </w:r>
            <w:r>
              <w:rPr>
                <w:spacing w:val="-6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Реквизиты для перечисления задатка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vMerge w:val="restart"/>
            <w:textDirection w:val="lrTb"/>
            <w:noWrap w:val="false"/>
          </w:tcPr>
          <w:p>
            <w:pPr>
              <w:jc w:val="both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Получатель задатка: АО "Сбербанк-АСТ";</w:t>
            </w:r>
            <w:r>
              <w:rPr>
                <w:spacing w:val="-6"/>
                <w:sz w:val="24"/>
                <w:szCs w:val="24"/>
              </w:rPr>
            </w:r>
            <w:r>
              <w:rPr>
                <w:spacing w:val="-6"/>
                <w:sz w:val="24"/>
                <w:szCs w:val="24"/>
              </w:rPr>
            </w:r>
          </w:p>
          <w:p>
            <w:pPr>
              <w:jc w:val="both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Наименование банка получателя: ПАО "СБЕРБАНК РОССИИ" Г. МОСКВА;</w:t>
            </w:r>
            <w:r>
              <w:rPr>
                <w:spacing w:val="-6"/>
                <w:sz w:val="24"/>
                <w:szCs w:val="24"/>
              </w:rPr>
            </w:r>
            <w:r>
              <w:rPr>
                <w:spacing w:val="-6"/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Расчетный с</w:t>
            </w:r>
            <w:r>
              <w:rPr>
                <w:spacing w:val="-6"/>
                <w:sz w:val="24"/>
                <w:szCs w:val="24"/>
              </w:rPr>
              <w:t xml:space="preserve">чет (казначейский счет): 40702810300020038047;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Корр. счет (ЕКС): 30101810400000000225;</w:t>
            </w:r>
            <w:r>
              <w:rPr>
                <w:spacing w:val="-6"/>
                <w:sz w:val="24"/>
                <w:szCs w:val="24"/>
              </w:rPr>
            </w:r>
            <w:r>
              <w:rPr>
                <w:spacing w:val="-6"/>
                <w:sz w:val="24"/>
                <w:szCs w:val="24"/>
              </w:rPr>
            </w:r>
          </w:p>
          <w:p>
            <w:pPr>
              <w:jc w:val="both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БИК: 044525225;</w:t>
            </w:r>
            <w:r>
              <w:rPr>
                <w:spacing w:val="-6"/>
                <w:sz w:val="24"/>
                <w:szCs w:val="24"/>
              </w:rPr>
            </w:r>
            <w:r>
              <w:rPr>
                <w:spacing w:val="-6"/>
                <w:sz w:val="24"/>
                <w:szCs w:val="24"/>
              </w:rPr>
            </w:r>
          </w:p>
          <w:p>
            <w:pPr>
              <w:jc w:val="both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ИНН: 7707308480;</w:t>
            </w:r>
            <w:r>
              <w:rPr>
                <w:spacing w:val="-6"/>
                <w:sz w:val="24"/>
                <w:szCs w:val="24"/>
              </w:rPr>
            </w:r>
            <w:r>
              <w:rPr>
                <w:spacing w:val="-6"/>
                <w:sz w:val="24"/>
                <w:szCs w:val="24"/>
              </w:rPr>
            </w:r>
          </w:p>
          <w:p>
            <w:pPr>
              <w:jc w:val="both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КПП: 770401001.</w:t>
            </w:r>
            <w:r>
              <w:rPr>
                <w:spacing w:val="-6"/>
                <w:sz w:val="24"/>
                <w:szCs w:val="24"/>
              </w:rPr>
            </w:r>
            <w:r>
              <w:rPr>
                <w:spacing w:val="-6"/>
                <w:sz w:val="24"/>
                <w:szCs w:val="24"/>
              </w:rPr>
            </w:r>
          </w:p>
          <w:p>
            <w:pPr>
              <w:jc w:val="both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Назначение платежа - Перечисление денежных средств в качестве задатка (депозита) (ИНН плательщика), НДС не облагается.</w:t>
            </w:r>
            <w:r>
              <w:rPr>
                <w:spacing w:val="-6"/>
                <w:sz w:val="24"/>
                <w:szCs w:val="24"/>
              </w:rPr>
            </w:r>
            <w:r>
              <w:rPr>
                <w:spacing w:val="-6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перечисления задатка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Задаток для участия в аукционе должен поступить на счет не позднее даты рассмотрения заявок на участие в аукционе (в соответствии с пунктом 3.2.7.1.Регламента торговой секции </w:t>
            </w:r>
            <w:r>
              <w:rPr>
                <w:sz w:val="24"/>
                <w:szCs w:val="24"/>
              </w:rPr>
              <w:t xml:space="preserve">«Приватизация, аренда и продажа прав» (является прил</w:t>
            </w:r>
            <w:r>
              <w:rPr>
                <w:sz w:val="24"/>
                <w:szCs w:val="24"/>
              </w:rPr>
              <w:t xml:space="preserve">ожением к настоящему извещению)).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gridSpan w:val="3"/>
            <w:tcW w:w="963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pacing w:val="-6"/>
                <w:sz w:val="24"/>
                <w:szCs w:val="24"/>
              </w:rPr>
            </w:pPr>
            <w:r>
              <w:rPr>
                <w:b/>
                <w:spacing w:val="-6"/>
                <w:sz w:val="24"/>
                <w:szCs w:val="24"/>
              </w:rPr>
              <w:t xml:space="preserve">Место, дата, время и порядок проведения аукциона</w:t>
            </w:r>
            <w:r>
              <w:rPr>
                <w:b/>
                <w:spacing w:val="-6"/>
                <w:sz w:val="24"/>
                <w:szCs w:val="24"/>
              </w:rPr>
            </w:r>
            <w:r>
              <w:rPr>
                <w:b/>
                <w:spacing w:val="-6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и время начала приема заявок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vMerge w:val="restar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b/>
                <w:color w:val="c00000"/>
                <w:sz w:val="24"/>
                <w:szCs w:val="24"/>
                <w:highlight w:val="none"/>
              </w:rPr>
              <w:t xml:space="preserve">30</w:t>
            </w:r>
            <w:r>
              <w:rPr>
                <w:b/>
                <w:color w:val="c00000"/>
                <w:sz w:val="24"/>
                <w:szCs w:val="24"/>
                <w:highlight w:val="white"/>
              </w:rPr>
              <w:t xml:space="preserve">.0</w:t>
            </w:r>
            <w:r>
              <w:rPr>
                <w:b/>
                <w:color w:val="c00000"/>
                <w:sz w:val="24"/>
                <w:szCs w:val="24"/>
                <w:highlight w:val="white"/>
              </w:rPr>
              <w:t xml:space="preserve">4.2026 в 10:00</w:t>
            </w:r>
            <w:r>
              <w:rPr>
                <w:b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(время московское)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Дата и время завершения приема заявок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5952" w:type="dxa"/>
            <w:vMerge w:val="restart"/>
            <w:textDirection w:val="lrTb"/>
            <w:noWrap w:val="false"/>
          </w:tcPr>
          <w:p>
            <w:pPr>
              <w:rPr>
                <w:b/>
                <w:color w:val="c00000"/>
                <w:sz w:val="24"/>
                <w:szCs w:val="24"/>
                <w:highlight w:val="white"/>
              </w:rPr>
            </w:pPr>
            <w:r>
              <w:rPr>
                <w:b/>
                <w:color w:val="c00000"/>
                <w:sz w:val="24"/>
                <w:szCs w:val="24"/>
                <w:highlight w:val="none"/>
              </w:rPr>
              <w:t xml:space="preserve">18</w:t>
            </w:r>
            <w:r>
              <w:rPr>
                <w:b/>
                <w:color w:val="c00000"/>
                <w:sz w:val="24"/>
                <w:szCs w:val="24"/>
                <w:highlight w:val="white"/>
              </w:rPr>
              <w:t xml:space="preserve">.05.2026 в 10:00 </w:t>
            </w:r>
            <w:r>
              <w:rPr>
                <w:sz w:val="24"/>
                <w:szCs w:val="24"/>
                <w:highlight w:val="white"/>
              </w:rPr>
              <w:t xml:space="preserve">(время московское)</w:t>
            </w:r>
            <w:r>
              <w:rPr>
                <w:b/>
                <w:color w:val="c00000"/>
                <w:sz w:val="24"/>
                <w:szCs w:val="24"/>
                <w:highlight w:val="white"/>
              </w:rPr>
            </w:r>
            <w:r>
              <w:rPr>
                <w:b/>
                <w:color w:val="c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 xml:space="preserve">Форма заявки на участие в аукционе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tcW w:w="5952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Заявка подается в виде электронного документа, подписанного электронной подписью на электронной площадке АО «Сбербанк-АСТ» (</w:t>
            </w:r>
            <w:hyperlink r:id="rId20" w:tooltip="http://utp.sberbank-ast.ru" w:history="1">
              <w:r>
                <w:rPr>
                  <w:rStyle w:val="871"/>
                  <w:sz w:val="24"/>
                  <w:szCs w:val="24"/>
                </w:rPr>
                <w:t xml:space="preserve">http://utp.sberbank-ast.</w:t>
              </w:r>
              <w:r>
                <w:rPr>
                  <w:rStyle w:val="871"/>
                  <w:sz w:val="24"/>
                  <w:szCs w:val="24"/>
                </w:rPr>
                <w:t xml:space="preserve">ru</w:t>
              </w:r>
            </w:hyperlink>
            <w:r>
              <w:rPr>
                <w:sz w:val="24"/>
                <w:szCs w:val="24"/>
              </w:rPr>
              <w:t xml:space="preserve"> ) в соответствии с приложением к настоящему извещению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/>
        <w:tc>
          <w:tcPr>
            <w:tcW w:w="51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Порядок и место подачи заявок на участие в аукционе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Заявки подаются круглосуточно в период с начала приема заявок до окончания приема заявок через электронную площадку АО «Сбербанк-АСТ» (</w:t>
            </w:r>
            <w:hyperlink r:id="rId21" w:tooltip="http://utp.sberbank-ast.ru" w:history="1">
              <w:r>
                <w:rPr>
                  <w:rStyle w:val="871"/>
                  <w:sz w:val="24"/>
                  <w:szCs w:val="24"/>
                </w:rPr>
                <w:t xml:space="preserve">http://utp.sberbank-ast.ru</w:t>
              </w:r>
            </w:hyperlink>
            <w:r>
              <w:rPr>
                <w:sz w:val="24"/>
                <w:szCs w:val="24"/>
              </w:rPr>
              <w:t xml:space="preserve"> ) в соответствии с Регламентом торговой секции «Приватизация, аренда и продажа прав» (является приложением к настоящему извещению)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51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Требуемые документы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1) заявка на участие в аукционе по установленной в извещении о проведении аукциона форме с указанием банковских реквизитов счета заявителя заверенная подписью;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2) копии всех страниц документов, удостоверяющих личность заявителя (для граждан);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3) надлежащим</w:t>
            </w:r>
            <w:r>
              <w:rPr>
                <w:sz w:val="24"/>
              </w:rPr>
              <w:t xml:space="preserve">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случае, если от имени прет</w:t>
            </w:r>
            <w:r>
              <w:rPr>
                <w:sz w:val="24"/>
                <w:szCs w:val="24"/>
              </w:rPr>
              <w:t xml:space="preserve">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</w:t>
            </w:r>
            <w:r>
              <w:rPr>
                <w:sz w:val="24"/>
                <w:szCs w:val="24"/>
              </w:rPr>
              <w:t xml:space="preserve">нность на осуществление действий от имени претендента подписана лицом, уполномоченным руководителем юридического лица, должен прикладываться документ, подтверждающий полномочия этого лица.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51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 xml:space="preserve">Дата рассмотрения заявок</w:t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</w:p>
        </w:tc>
        <w:tc>
          <w:tcPr>
            <w:tcW w:w="5952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b/>
                <w:color w:val="c00000"/>
                <w:sz w:val="24"/>
                <w:szCs w:val="24"/>
                <w:highlight w:val="white"/>
              </w:rPr>
              <w:t xml:space="preserve">18</w:t>
            </w:r>
            <w:r>
              <w:rPr>
                <w:b/>
                <w:color w:val="c00000"/>
                <w:sz w:val="24"/>
                <w:szCs w:val="24"/>
                <w:highlight w:val="white"/>
              </w:rPr>
              <w:t xml:space="preserve">.05.2026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(время московское)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51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Дата, время проведения аукциона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textDirection w:val="lrTb"/>
            <w:noWrap w:val="false"/>
          </w:tcPr>
          <w:p>
            <w:pPr>
              <w:jc w:val="both"/>
              <w:rPr>
                <w:color w:val="c00000"/>
                <w:sz w:val="24"/>
                <w:szCs w:val="24"/>
                <w:highlight w:val="white"/>
              </w:rPr>
            </w:pPr>
            <w:r>
              <w:rPr>
                <w:b/>
                <w:color w:val="c00000"/>
                <w:sz w:val="24"/>
                <w:szCs w:val="24"/>
                <w:highlight w:val="none"/>
                <w:u w:val="single"/>
              </w:rPr>
              <w:t xml:space="preserve">20</w:t>
            </w:r>
            <w:r>
              <w:rPr>
                <w:b/>
                <w:color w:val="c00000"/>
                <w:sz w:val="24"/>
                <w:szCs w:val="24"/>
                <w:highlight w:val="white"/>
                <w:u w:val="single"/>
              </w:rPr>
              <w:t xml:space="preserve">.05</w:t>
            </w:r>
            <w:r>
              <w:rPr>
                <w:b/>
                <w:color w:val="c00000"/>
                <w:sz w:val="24"/>
                <w:szCs w:val="24"/>
                <w:highlight w:val="white"/>
                <w:u w:val="single"/>
              </w:rPr>
              <w:t xml:space="preserve">.2026 года в 10:00 ч.</w:t>
            </w:r>
            <w:r>
              <w:rPr>
                <w:color w:val="c00000"/>
                <w:sz w:val="24"/>
                <w:szCs w:val="24"/>
                <w:highlight w:val="white"/>
              </w:rPr>
              <w:t xml:space="preserve"> </w:t>
            </w:r>
            <w:r>
              <w:rPr>
                <w:color w:val="c00000"/>
                <w:sz w:val="24"/>
                <w:szCs w:val="24"/>
                <w:highlight w:val="white"/>
              </w:rPr>
            </w:r>
            <w:r>
              <w:rPr>
                <w:color w:val="c00000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51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проведения аукциона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Электронная площадка АО </w:t>
            </w:r>
            <w:r>
              <w:rPr>
                <w:sz w:val="24"/>
                <w:szCs w:val="24"/>
              </w:rPr>
              <w:t xml:space="preserve">«Сбербанк-АСТ»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</w:r>
            <w:hyperlink r:id="rId22" w:tooltip="http://utp.sberbank-ast.ru" w:history="1">
              <w:r>
                <w:rPr>
                  <w:rStyle w:val="871"/>
                  <w:sz w:val="24"/>
                  <w:szCs w:val="24"/>
                </w:rPr>
                <w:t xml:space="preserve">http://utp.sberbank-ast.ru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/>
        <w:tc>
          <w:tcPr>
            <w:tcW w:w="51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6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Порядок проведения </w:t>
            </w:r>
            <w:r>
              <w:rPr>
                <w:bCs/>
                <w:sz w:val="24"/>
                <w:szCs w:val="24"/>
              </w:rPr>
              <w:t xml:space="preserve">аукциона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2" w:type="dxa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 xml:space="preserve">В соответствии со ст. 39.13 Земельного кодекса Российской Федерации, Регламентом торговой секции «Приватизация, аренда и продажа прав» (является приложением к настоящему извещению)</w:t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</w:tbl>
    <w:p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 Проект договора аренды земельного участка;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rPr>
          <w:color w:val="000000"/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2. 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Градостроительный план земельного участка (ГПЗУ)</w:t>
      </w:r>
      <w:r>
        <w:rPr>
          <w:sz w:val="24"/>
          <w:szCs w:val="24"/>
        </w:rPr>
        <w:t xml:space="preserve">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 Форма заявки на участие в аукционе для физического и юридического лица.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приложения представлены отдельными документами и являются неотъемлемой частью настоящего извеще</w:t>
      </w:r>
      <w:r>
        <w:rPr>
          <w:sz w:val="24"/>
          <w:szCs w:val="24"/>
        </w:rPr>
        <w:t xml:space="preserve">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701" w:header="567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409020205020404"/>
  </w:font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502158951"/>
      <w:docPartObj>
        <w:docPartGallery w:val="Page Numbers (Top of Page)"/>
        <w:docPartUnique w:val="true"/>
      </w:docPartObj>
      <w:rPr/>
    </w:sdtPr>
    <w:sdtContent>
      <w:p>
        <w:pPr>
          <w:pStyle w:val="88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88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0">
    <w:name w:val="Heading 2 Char"/>
    <w:basedOn w:val="704"/>
    <w:link w:val="696"/>
    <w:uiPriority w:val="9"/>
    <w:rPr>
      <w:rFonts w:ascii="Arial" w:hAnsi="Arial" w:eastAsia="Arial" w:cs="Arial"/>
      <w:sz w:val="34"/>
    </w:rPr>
  </w:style>
  <w:style w:type="character" w:styleId="681">
    <w:name w:val="Heading 3 Char"/>
    <w:basedOn w:val="704"/>
    <w:link w:val="697"/>
    <w:uiPriority w:val="9"/>
    <w:rPr>
      <w:rFonts w:ascii="Arial" w:hAnsi="Arial" w:eastAsia="Arial" w:cs="Arial"/>
      <w:sz w:val="30"/>
      <w:szCs w:val="30"/>
    </w:rPr>
  </w:style>
  <w:style w:type="character" w:styleId="682">
    <w:name w:val="Heading 4 Char"/>
    <w:basedOn w:val="704"/>
    <w:link w:val="698"/>
    <w:uiPriority w:val="9"/>
    <w:rPr>
      <w:rFonts w:ascii="Arial" w:hAnsi="Arial" w:eastAsia="Arial" w:cs="Arial"/>
      <w:b/>
      <w:bCs/>
      <w:sz w:val="26"/>
      <w:szCs w:val="26"/>
    </w:rPr>
  </w:style>
  <w:style w:type="character" w:styleId="683">
    <w:name w:val="Heading 5 Char"/>
    <w:basedOn w:val="704"/>
    <w:link w:val="699"/>
    <w:uiPriority w:val="9"/>
    <w:rPr>
      <w:rFonts w:ascii="Arial" w:hAnsi="Arial" w:eastAsia="Arial" w:cs="Arial"/>
      <w:b/>
      <w:bCs/>
      <w:sz w:val="24"/>
      <w:szCs w:val="24"/>
    </w:rPr>
  </w:style>
  <w:style w:type="character" w:styleId="684">
    <w:name w:val="Heading 6 Char"/>
    <w:basedOn w:val="704"/>
    <w:link w:val="700"/>
    <w:uiPriority w:val="9"/>
    <w:rPr>
      <w:rFonts w:ascii="Arial" w:hAnsi="Arial" w:eastAsia="Arial" w:cs="Arial"/>
      <w:b/>
      <w:bCs/>
      <w:sz w:val="22"/>
      <w:szCs w:val="22"/>
    </w:rPr>
  </w:style>
  <w:style w:type="character" w:styleId="685">
    <w:name w:val="Heading 7 Char"/>
    <w:basedOn w:val="704"/>
    <w:link w:val="70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6">
    <w:name w:val="Heading 8 Char"/>
    <w:basedOn w:val="704"/>
    <w:link w:val="702"/>
    <w:uiPriority w:val="9"/>
    <w:rPr>
      <w:rFonts w:ascii="Arial" w:hAnsi="Arial" w:eastAsia="Arial" w:cs="Arial"/>
      <w:i/>
      <w:iCs/>
      <w:sz w:val="22"/>
      <w:szCs w:val="22"/>
    </w:rPr>
  </w:style>
  <w:style w:type="character" w:styleId="687">
    <w:name w:val="Heading 9 Char"/>
    <w:basedOn w:val="704"/>
    <w:link w:val="703"/>
    <w:uiPriority w:val="9"/>
    <w:rPr>
      <w:rFonts w:ascii="Arial" w:hAnsi="Arial" w:eastAsia="Arial" w:cs="Arial"/>
      <w:i/>
      <w:iCs/>
      <w:sz w:val="21"/>
      <w:szCs w:val="21"/>
    </w:rPr>
  </w:style>
  <w:style w:type="character" w:styleId="688">
    <w:name w:val="Title Char"/>
    <w:basedOn w:val="704"/>
    <w:link w:val="717"/>
    <w:uiPriority w:val="10"/>
    <w:rPr>
      <w:sz w:val="48"/>
      <w:szCs w:val="48"/>
    </w:rPr>
  </w:style>
  <w:style w:type="character" w:styleId="689">
    <w:name w:val="Subtitle Char"/>
    <w:basedOn w:val="704"/>
    <w:link w:val="719"/>
    <w:uiPriority w:val="11"/>
    <w:rPr>
      <w:sz w:val="24"/>
      <w:szCs w:val="24"/>
    </w:rPr>
  </w:style>
  <w:style w:type="character" w:styleId="690">
    <w:name w:val="Quote Char"/>
    <w:link w:val="721"/>
    <w:uiPriority w:val="29"/>
    <w:rPr>
      <w:i/>
    </w:rPr>
  </w:style>
  <w:style w:type="character" w:styleId="691">
    <w:name w:val="Intense Quote Char"/>
    <w:link w:val="723"/>
    <w:uiPriority w:val="30"/>
    <w:rPr>
      <w:i/>
    </w:rPr>
  </w:style>
  <w:style w:type="character" w:styleId="692">
    <w:name w:val="Footnote Text Char"/>
    <w:link w:val="854"/>
    <w:uiPriority w:val="99"/>
    <w:rPr>
      <w:sz w:val="18"/>
    </w:rPr>
  </w:style>
  <w:style w:type="character" w:styleId="693">
    <w:name w:val="Endnote Text Char"/>
    <w:link w:val="857"/>
    <w:uiPriority w:val="99"/>
    <w:rPr>
      <w:sz w:val="20"/>
    </w:rPr>
  </w:style>
  <w:style w:type="paragraph" w:styleId="694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695">
    <w:name w:val="Heading 1"/>
    <w:basedOn w:val="694"/>
    <w:next w:val="694"/>
    <w:link w:val="882"/>
    <w:qFormat/>
    <w:pPr>
      <w:ind w:left="1094"/>
      <w:keepNext/>
      <w:spacing w:line="302" w:lineRule="exact"/>
      <w:shd w:val="clear" w:color="auto" w:fill="ffffff"/>
      <w:widowControl w:val="off"/>
      <w:outlineLvl w:val="0"/>
    </w:pPr>
    <w:rPr>
      <w:b/>
      <w:bCs/>
      <w:color w:val="000000"/>
      <w:spacing w:val="-4"/>
      <w:szCs w:val="26"/>
    </w:rPr>
  </w:style>
  <w:style w:type="paragraph" w:styleId="696">
    <w:name w:val="Heading 2"/>
    <w:basedOn w:val="694"/>
    <w:next w:val="694"/>
    <w:link w:val="70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97">
    <w:name w:val="Heading 3"/>
    <w:basedOn w:val="694"/>
    <w:next w:val="694"/>
    <w:link w:val="70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98">
    <w:name w:val="Heading 4"/>
    <w:basedOn w:val="694"/>
    <w:next w:val="694"/>
    <w:link w:val="71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9">
    <w:name w:val="Heading 5"/>
    <w:basedOn w:val="694"/>
    <w:next w:val="694"/>
    <w:link w:val="71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</w:rPr>
  </w:style>
  <w:style w:type="paragraph" w:styleId="700">
    <w:name w:val="Heading 6"/>
    <w:basedOn w:val="694"/>
    <w:next w:val="694"/>
    <w:link w:val="71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01">
    <w:name w:val="Heading 7"/>
    <w:basedOn w:val="694"/>
    <w:next w:val="694"/>
    <w:link w:val="71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2">
    <w:name w:val="Heading 8"/>
    <w:basedOn w:val="694"/>
    <w:next w:val="694"/>
    <w:link w:val="71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03">
    <w:name w:val="Heading 9"/>
    <w:basedOn w:val="694"/>
    <w:next w:val="694"/>
    <w:link w:val="71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4" w:default="1">
    <w:name w:val="Default Paragraph Font"/>
    <w:uiPriority w:val="1"/>
    <w:semiHidden/>
    <w:unhideWhenUsed/>
  </w:style>
  <w:style w:type="table" w:styleId="70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6" w:default="1">
    <w:name w:val="No List"/>
    <w:uiPriority w:val="99"/>
    <w:semiHidden/>
    <w:unhideWhenUsed/>
  </w:style>
  <w:style w:type="character" w:styleId="707" w:customStyle="1">
    <w:name w:val="Heading 1 Char"/>
    <w:basedOn w:val="704"/>
    <w:uiPriority w:val="9"/>
    <w:rPr>
      <w:rFonts w:ascii="Arial" w:hAnsi="Arial" w:eastAsia="Arial" w:cs="Arial"/>
      <w:sz w:val="40"/>
      <w:szCs w:val="40"/>
    </w:rPr>
  </w:style>
  <w:style w:type="character" w:styleId="708" w:customStyle="1">
    <w:name w:val="Заголовок 2 Знак"/>
    <w:basedOn w:val="704"/>
    <w:link w:val="696"/>
    <w:uiPriority w:val="9"/>
    <w:rPr>
      <w:rFonts w:ascii="Arial" w:hAnsi="Arial" w:eastAsia="Arial" w:cs="Arial"/>
      <w:sz w:val="34"/>
    </w:rPr>
  </w:style>
  <w:style w:type="character" w:styleId="709" w:customStyle="1">
    <w:name w:val="Заголовок 3 Знак"/>
    <w:basedOn w:val="704"/>
    <w:link w:val="697"/>
    <w:uiPriority w:val="9"/>
    <w:rPr>
      <w:rFonts w:ascii="Arial" w:hAnsi="Arial" w:eastAsia="Arial" w:cs="Arial"/>
      <w:sz w:val="30"/>
      <w:szCs w:val="30"/>
    </w:rPr>
  </w:style>
  <w:style w:type="character" w:styleId="710" w:customStyle="1">
    <w:name w:val="Заголовок 4 Знак"/>
    <w:basedOn w:val="704"/>
    <w:link w:val="698"/>
    <w:uiPriority w:val="9"/>
    <w:rPr>
      <w:rFonts w:ascii="Arial" w:hAnsi="Arial" w:eastAsia="Arial" w:cs="Arial"/>
      <w:b/>
      <w:bCs/>
      <w:sz w:val="26"/>
      <w:szCs w:val="26"/>
    </w:rPr>
  </w:style>
  <w:style w:type="character" w:styleId="711" w:customStyle="1">
    <w:name w:val="Заголовок 5 Знак"/>
    <w:basedOn w:val="704"/>
    <w:link w:val="699"/>
    <w:uiPriority w:val="9"/>
    <w:rPr>
      <w:rFonts w:ascii="Arial" w:hAnsi="Arial" w:eastAsia="Arial" w:cs="Arial"/>
      <w:b/>
      <w:bCs/>
      <w:sz w:val="24"/>
      <w:szCs w:val="24"/>
    </w:rPr>
  </w:style>
  <w:style w:type="character" w:styleId="712" w:customStyle="1">
    <w:name w:val="Заголовок 6 Знак"/>
    <w:basedOn w:val="704"/>
    <w:link w:val="700"/>
    <w:uiPriority w:val="9"/>
    <w:rPr>
      <w:rFonts w:ascii="Arial" w:hAnsi="Arial" w:eastAsia="Arial" w:cs="Arial"/>
      <w:b/>
      <w:bCs/>
      <w:sz w:val="22"/>
      <w:szCs w:val="22"/>
    </w:rPr>
  </w:style>
  <w:style w:type="character" w:styleId="713" w:customStyle="1">
    <w:name w:val="Заголовок 7 Знак"/>
    <w:basedOn w:val="704"/>
    <w:link w:val="70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4" w:customStyle="1">
    <w:name w:val="Заголовок 8 Знак"/>
    <w:basedOn w:val="704"/>
    <w:link w:val="702"/>
    <w:uiPriority w:val="9"/>
    <w:rPr>
      <w:rFonts w:ascii="Arial" w:hAnsi="Arial" w:eastAsia="Arial" w:cs="Arial"/>
      <w:i/>
      <w:iCs/>
      <w:sz w:val="22"/>
      <w:szCs w:val="22"/>
    </w:rPr>
  </w:style>
  <w:style w:type="character" w:styleId="715" w:customStyle="1">
    <w:name w:val="Заголовок 9 Знак"/>
    <w:basedOn w:val="704"/>
    <w:link w:val="703"/>
    <w:uiPriority w:val="9"/>
    <w:rPr>
      <w:rFonts w:ascii="Arial" w:hAnsi="Arial" w:eastAsia="Arial" w:cs="Arial"/>
      <w:i/>
      <w:iCs/>
      <w:sz w:val="21"/>
      <w:szCs w:val="21"/>
    </w:rPr>
  </w:style>
  <w:style w:type="paragraph" w:styleId="716">
    <w:name w:val="List Paragraph"/>
    <w:basedOn w:val="694"/>
    <w:uiPriority w:val="34"/>
    <w:qFormat/>
    <w:pPr>
      <w:contextualSpacing/>
      <w:ind w:left="720"/>
    </w:pPr>
  </w:style>
  <w:style w:type="paragraph" w:styleId="717">
    <w:name w:val="Title"/>
    <w:basedOn w:val="694"/>
    <w:next w:val="694"/>
    <w:link w:val="71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8" w:customStyle="1">
    <w:name w:val="Заголовок Знак"/>
    <w:basedOn w:val="704"/>
    <w:link w:val="717"/>
    <w:uiPriority w:val="10"/>
    <w:rPr>
      <w:sz w:val="48"/>
      <w:szCs w:val="48"/>
    </w:rPr>
  </w:style>
  <w:style w:type="paragraph" w:styleId="719">
    <w:name w:val="Subtitle"/>
    <w:basedOn w:val="694"/>
    <w:next w:val="694"/>
    <w:link w:val="720"/>
    <w:uiPriority w:val="11"/>
    <w:qFormat/>
    <w:pPr>
      <w:spacing w:before="200" w:after="200"/>
    </w:pPr>
    <w:rPr>
      <w:sz w:val="24"/>
    </w:rPr>
  </w:style>
  <w:style w:type="character" w:styleId="720" w:customStyle="1">
    <w:name w:val="Подзаголовок Знак"/>
    <w:basedOn w:val="704"/>
    <w:link w:val="719"/>
    <w:uiPriority w:val="11"/>
    <w:rPr>
      <w:sz w:val="24"/>
      <w:szCs w:val="24"/>
    </w:rPr>
  </w:style>
  <w:style w:type="paragraph" w:styleId="721">
    <w:name w:val="Quote"/>
    <w:basedOn w:val="694"/>
    <w:next w:val="694"/>
    <w:link w:val="722"/>
    <w:uiPriority w:val="29"/>
    <w:qFormat/>
    <w:pPr>
      <w:ind w:left="720" w:right="720"/>
    </w:pPr>
    <w:rPr>
      <w:i/>
    </w:rPr>
  </w:style>
  <w:style w:type="character" w:styleId="722" w:customStyle="1">
    <w:name w:val="Цитата 2 Знак"/>
    <w:link w:val="721"/>
    <w:uiPriority w:val="29"/>
    <w:rPr>
      <w:i/>
    </w:rPr>
  </w:style>
  <w:style w:type="paragraph" w:styleId="723">
    <w:name w:val="Intense Quote"/>
    <w:basedOn w:val="694"/>
    <w:next w:val="694"/>
    <w:link w:val="72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4" w:customStyle="1">
    <w:name w:val="Выделенная цитата Знак"/>
    <w:link w:val="723"/>
    <w:uiPriority w:val="30"/>
    <w:rPr>
      <w:i/>
    </w:rPr>
  </w:style>
  <w:style w:type="character" w:styleId="725" w:customStyle="1">
    <w:name w:val="Header Char"/>
    <w:basedOn w:val="704"/>
    <w:uiPriority w:val="99"/>
  </w:style>
  <w:style w:type="character" w:styleId="726" w:customStyle="1">
    <w:name w:val="Footer Char"/>
    <w:basedOn w:val="704"/>
    <w:uiPriority w:val="99"/>
  </w:style>
  <w:style w:type="paragraph" w:styleId="727">
    <w:name w:val="Caption"/>
    <w:basedOn w:val="694"/>
    <w:next w:val="694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28" w:customStyle="1">
    <w:name w:val="Caption Char"/>
    <w:uiPriority w:val="99"/>
  </w:style>
  <w:style w:type="table" w:styleId="729" w:customStyle="1">
    <w:name w:val="Table Grid Light"/>
    <w:basedOn w:val="70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30">
    <w:name w:val="Plain Table 1"/>
    <w:basedOn w:val="70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1">
    <w:name w:val="Plain Table 2"/>
    <w:basedOn w:val="705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2">
    <w:name w:val="Plain Table 3"/>
    <w:basedOn w:val="70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3">
    <w:name w:val="Plain Table 4"/>
    <w:basedOn w:val="70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Plain Table 5"/>
    <w:basedOn w:val="70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5">
    <w:name w:val="Grid Table 1 Light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1 Light - Accent 1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Grid Table 1 Light - Accent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Grid Table 1 Light - Accent 4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Grid Table 1 Light - Accent 5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Grid Table 1 Light - Accent 6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2 - Accent 1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2 - Accent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2 - Accent 4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2 - Accent 5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2 - Accent 6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 - Accent 1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3 - Accent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3 - Accent 4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3 - Accent 5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3 - Accent 6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4"/>
    <w:basedOn w:val="705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7" w:customStyle="1">
    <w:name w:val="Grid Table 4 - Accent 1"/>
    <w:basedOn w:val="705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58" w:customStyle="1">
    <w:name w:val="Grid Table 4 - Accent 2"/>
    <w:basedOn w:val="70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59" w:customStyle="1">
    <w:name w:val="Grid Table 4 - Accent 3"/>
    <w:basedOn w:val="705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60" w:customStyle="1">
    <w:name w:val="Grid Table 4 - Accent 4"/>
    <w:basedOn w:val="70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61" w:customStyle="1">
    <w:name w:val="Grid Table 4 - Accent 5"/>
    <w:basedOn w:val="705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62" w:customStyle="1">
    <w:name w:val="Grid Table 4 - Accent 6"/>
    <w:basedOn w:val="705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63">
    <w:name w:val="Grid Table 5 Dark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5 Dark- Accent 1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 - Accent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66" w:customStyle="1">
    <w:name w:val="Grid Table 5 Dark - Accent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67" w:customStyle="1">
    <w:name w:val="Grid Table 5 Dark- Accent 4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68" w:customStyle="1">
    <w:name w:val="Grid Table 5 Dark - Accent 5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69" w:customStyle="1">
    <w:name w:val="Grid Table 5 Dark - Accent 6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70">
    <w:name w:val="Grid Table 6 Colorful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1" w:customStyle="1">
    <w:name w:val="Grid Table 6 Colorful - Accent 1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72" w:customStyle="1">
    <w:name w:val="Grid Table 6 Colorful - Accent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73" w:customStyle="1">
    <w:name w:val="Grid Table 6 Colorful - Accent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74" w:customStyle="1">
    <w:name w:val="Grid Table 6 Colorful - Accent 4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75" w:customStyle="1">
    <w:name w:val="Grid Table 6 Colorful - Accent 5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6" w:customStyle="1">
    <w:name w:val="Grid Table 6 Colorful - Accent 6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7">
    <w:name w:val="Grid Table 7 Colorful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8" w:customStyle="1">
    <w:name w:val="Grid Table 7 Colorful - Accent 1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9" w:customStyle="1">
    <w:name w:val="Grid Table 7 Colorful - Accent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0" w:customStyle="1">
    <w:name w:val="Grid Table 7 Colorful - Accent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1" w:customStyle="1">
    <w:name w:val="Grid Table 7 Colorful - Accent 4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2" w:customStyle="1">
    <w:name w:val="Grid Table 7 Colorful - Accent 5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3" w:customStyle="1">
    <w:name w:val="Grid Table 7 Colorful - Accent 6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4">
    <w:name w:val="List Table 1 Light"/>
    <w:basedOn w:val="70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1 Light - Accent 1"/>
    <w:basedOn w:val="70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2"/>
    <w:basedOn w:val="70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1 Light - Accent 3"/>
    <w:basedOn w:val="70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1 Light - Accent 4"/>
    <w:basedOn w:val="70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1 Light - Accent 5"/>
    <w:basedOn w:val="70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1 Light - Accent 6"/>
    <w:basedOn w:val="70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2" w:customStyle="1">
    <w:name w:val="List Table 2 - Accent 1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94" w:customStyle="1">
    <w:name w:val="List Table 2 - Accent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95" w:customStyle="1">
    <w:name w:val="List Table 2 - Accent 4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96" w:customStyle="1">
    <w:name w:val="List Table 2 - Accent 5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97" w:customStyle="1">
    <w:name w:val="List Table 2 - Accent 6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98">
    <w:name w:val="List Table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3 - Accent 1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3 - Accent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3 - Accent 4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3 - Accent 5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3 - Accent 6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 - Accent 1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4 - Accent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4 - Accent 4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4 - Accent 5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4 - Accent 6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5 Dark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5 Dark - Accent 1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List Table 5 Dark - Accent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 w:customStyle="1">
    <w:name w:val="List Table 5 Dark - Accent 4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List Table 5 Dark - Accent 5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 w:customStyle="1">
    <w:name w:val="List Table 5 Dark - Accent 6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9">
    <w:name w:val="List Table 6 Colorful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0" w:customStyle="1">
    <w:name w:val="List Table 6 Colorful - Accent 1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21" w:customStyle="1">
    <w:name w:val="List Table 6 Colorful - Accent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22" w:customStyle="1">
    <w:name w:val="List Table 6 Colorful - Accent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23" w:customStyle="1">
    <w:name w:val="List Table 6 Colorful - Accent 4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24" w:customStyle="1">
    <w:name w:val="List Table 6 Colorful - Accent 5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25" w:customStyle="1">
    <w:name w:val="List Table 6 Colorful - Accent 6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26">
    <w:name w:val="List Table 7 Colorful"/>
    <w:basedOn w:val="70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7" w:customStyle="1">
    <w:name w:val="List Table 7 Colorful - Accent 1"/>
    <w:basedOn w:val="70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8" w:customStyle="1">
    <w:name w:val="List Table 7 Colorful - Accent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9" w:customStyle="1">
    <w:name w:val="List Table 7 Colorful - Accent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0" w:customStyle="1">
    <w:name w:val="List Table 7 Colorful - Accent 4"/>
    <w:basedOn w:val="70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1" w:customStyle="1">
    <w:name w:val="List Table 7 Colorful - Accent 5"/>
    <w:basedOn w:val="70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2" w:customStyle="1">
    <w:name w:val="List Table 7 Colorful - Accent 6"/>
    <w:basedOn w:val="70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3" w:customStyle="1">
    <w:name w:val="Lined - Accent"/>
    <w:basedOn w:val="7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4" w:customStyle="1">
    <w:name w:val="Lined - Accent 1"/>
    <w:basedOn w:val="7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35" w:customStyle="1">
    <w:name w:val="Lined - Accent 2"/>
    <w:basedOn w:val="7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6" w:customStyle="1">
    <w:name w:val="Lined - Accent 3"/>
    <w:basedOn w:val="7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7" w:customStyle="1">
    <w:name w:val="Lined - Accent 4"/>
    <w:basedOn w:val="7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8" w:customStyle="1">
    <w:name w:val="Lined - Accent 5"/>
    <w:basedOn w:val="7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39" w:customStyle="1">
    <w:name w:val="Lined - Accent 6"/>
    <w:basedOn w:val="7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0" w:customStyle="1">
    <w:name w:val="Bordered &amp; Lined - Accent"/>
    <w:basedOn w:val="7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1" w:customStyle="1">
    <w:name w:val="Bordered &amp; Lined - Accent 1"/>
    <w:basedOn w:val="7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42" w:customStyle="1">
    <w:name w:val="Bordered &amp; Lined - Accent 2"/>
    <w:basedOn w:val="7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3" w:customStyle="1">
    <w:name w:val="Bordered &amp; Lined - Accent 3"/>
    <w:basedOn w:val="7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4" w:customStyle="1">
    <w:name w:val="Bordered &amp; Lined - Accent 4"/>
    <w:basedOn w:val="7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45" w:customStyle="1">
    <w:name w:val="Bordered &amp; Lined - Accent 5"/>
    <w:basedOn w:val="7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46" w:customStyle="1">
    <w:name w:val="Bordered &amp; Lined - Accent 6"/>
    <w:basedOn w:val="7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7" w:customStyle="1">
    <w:name w:val="Bordered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8" w:customStyle="1">
    <w:name w:val="Bordered - Accent 1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49" w:customStyle="1">
    <w:name w:val="Bordered - Accent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50" w:customStyle="1">
    <w:name w:val="Bordered - Accent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51" w:customStyle="1">
    <w:name w:val="Bordered - Accent 4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52" w:customStyle="1">
    <w:name w:val="Bordered - Accent 5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53" w:customStyle="1">
    <w:name w:val="Bordered - Accent 6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54">
    <w:name w:val="footnote text"/>
    <w:basedOn w:val="694"/>
    <w:link w:val="855"/>
    <w:uiPriority w:val="99"/>
    <w:semiHidden/>
    <w:unhideWhenUsed/>
    <w:pPr>
      <w:spacing w:after="40"/>
    </w:pPr>
    <w:rPr>
      <w:sz w:val="18"/>
    </w:rPr>
  </w:style>
  <w:style w:type="character" w:styleId="855" w:customStyle="1">
    <w:name w:val="Текст сноски Знак"/>
    <w:link w:val="854"/>
    <w:uiPriority w:val="99"/>
    <w:rPr>
      <w:sz w:val="18"/>
    </w:rPr>
  </w:style>
  <w:style w:type="character" w:styleId="856">
    <w:name w:val="footnote reference"/>
    <w:basedOn w:val="704"/>
    <w:uiPriority w:val="99"/>
    <w:unhideWhenUsed/>
    <w:rPr>
      <w:vertAlign w:val="superscript"/>
    </w:rPr>
  </w:style>
  <w:style w:type="paragraph" w:styleId="857">
    <w:name w:val="endnote text"/>
    <w:basedOn w:val="694"/>
    <w:link w:val="858"/>
    <w:uiPriority w:val="99"/>
    <w:semiHidden/>
    <w:unhideWhenUsed/>
    <w:rPr>
      <w:sz w:val="20"/>
    </w:rPr>
  </w:style>
  <w:style w:type="character" w:styleId="858" w:customStyle="1">
    <w:name w:val="Текст концевой сноски Знак"/>
    <w:link w:val="857"/>
    <w:uiPriority w:val="99"/>
    <w:rPr>
      <w:sz w:val="20"/>
    </w:rPr>
  </w:style>
  <w:style w:type="character" w:styleId="859">
    <w:name w:val="endnote reference"/>
    <w:basedOn w:val="704"/>
    <w:uiPriority w:val="99"/>
    <w:semiHidden/>
    <w:unhideWhenUsed/>
    <w:rPr>
      <w:vertAlign w:val="superscript"/>
    </w:rPr>
  </w:style>
  <w:style w:type="paragraph" w:styleId="860">
    <w:name w:val="toc 1"/>
    <w:basedOn w:val="694"/>
    <w:next w:val="694"/>
    <w:uiPriority w:val="39"/>
    <w:unhideWhenUsed/>
    <w:pPr>
      <w:spacing w:after="57"/>
    </w:pPr>
  </w:style>
  <w:style w:type="paragraph" w:styleId="861">
    <w:name w:val="toc 2"/>
    <w:basedOn w:val="694"/>
    <w:next w:val="694"/>
    <w:uiPriority w:val="39"/>
    <w:unhideWhenUsed/>
    <w:pPr>
      <w:ind w:left="283"/>
      <w:spacing w:after="57"/>
    </w:pPr>
  </w:style>
  <w:style w:type="paragraph" w:styleId="862">
    <w:name w:val="toc 3"/>
    <w:basedOn w:val="694"/>
    <w:next w:val="694"/>
    <w:uiPriority w:val="39"/>
    <w:unhideWhenUsed/>
    <w:pPr>
      <w:ind w:left="567"/>
      <w:spacing w:after="57"/>
    </w:pPr>
  </w:style>
  <w:style w:type="paragraph" w:styleId="863">
    <w:name w:val="toc 4"/>
    <w:basedOn w:val="694"/>
    <w:next w:val="694"/>
    <w:uiPriority w:val="39"/>
    <w:unhideWhenUsed/>
    <w:pPr>
      <w:ind w:left="850"/>
      <w:spacing w:after="57"/>
    </w:pPr>
  </w:style>
  <w:style w:type="paragraph" w:styleId="864">
    <w:name w:val="toc 5"/>
    <w:basedOn w:val="694"/>
    <w:next w:val="694"/>
    <w:uiPriority w:val="39"/>
    <w:unhideWhenUsed/>
    <w:pPr>
      <w:ind w:left="1134"/>
      <w:spacing w:after="57"/>
    </w:pPr>
  </w:style>
  <w:style w:type="paragraph" w:styleId="865">
    <w:name w:val="toc 6"/>
    <w:basedOn w:val="694"/>
    <w:next w:val="694"/>
    <w:uiPriority w:val="39"/>
    <w:unhideWhenUsed/>
    <w:pPr>
      <w:ind w:left="1417"/>
      <w:spacing w:after="57"/>
    </w:pPr>
  </w:style>
  <w:style w:type="paragraph" w:styleId="866">
    <w:name w:val="toc 7"/>
    <w:basedOn w:val="694"/>
    <w:next w:val="694"/>
    <w:uiPriority w:val="39"/>
    <w:unhideWhenUsed/>
    <w:pPr>
      <w:ind w:left="1701"/>
      <w:spacing w:after="57"/>
    </w:pPr>
  </w:style>
  <w:style w:type="paragraph" w:styleId="867">
    <w:name w:val="toc 8"/>
    <w:basedOn w:val="694"/>
    <w:next w:val="694"/>
    <w:uiPriority w:val="39"/>
    <w:unhideWhenUsed/>
    <w:pPr>
      <w:ind w:left="1984"/>
      <w:spacing w:after="57"/>
    </w:pPr>
  </w:style>
  <w:style w:type="paragraph" w:styleId="868">
    <w:name w:val="toc 9"/>
    <w:basedOn w:val="694"/>
    <w:next w:val="694"/>
    <w:uiPriority w:val="39"/>
    <w:unhideWhenUsed/>
    <w:pPr>
      <w:ind w:left="2268"/>
      <w:spacing w:after="57"/>
    </w:pPr>
  </w:style>
  <w:style w:type="paragraph" w:styleId="869">
    <w:name w:val="TOC Heading"/>
    <w:uiPriority w:val="39"/>
    <w:unhideWhenUsed/>
  </w:style>
  <w:style w:type="paragraph" w:styleId="870">
    <w:name w:val="table of figures"/>
    <w:basedOn w:val="694"/>
    <w:next w:val="694"/>
    <w:uiPriority w:val="99"/>
    <w:unhideWhenUsed/>
  </w:style>
  <w:style w:type="character" w:styleId="871">
    <w:name w:val="Hyperlink"/>
    <w:unhideWhenUsed/>
    <w:rPr>
      <w:color w:val="0000ff"/>
      <w:u w:val="single"/>
    </w:rPr>
  </w:style>
  <w:style w:type="paragraph" w:styleId="872">
    <w:name w:val="Balloon Text"/>
    <w:basedOn w:val="694"/>
    <w:link w:val="873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73" w:customStyle="1">
    <w:name w:val="Текст выноски Знак"/>
    <w:basedOn w:val="704"/>
    <w:link w:val="872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paragraph" w:styleId="874">
    <w:name w:val="Body Text"/>
    <w:basedOn w:val="694"/>
    <w:link w:val="875"/>
    <w:pPr>
      <w:jc w:val="center"/>
    </w:pPr>
    <w:rPr>
      <w:b/>
      <w:bCs/>
      <w:caps/>
    </w:rPr>
  </w:style>
  <w:style w:type="character" w:styleId="875" w:customStyle="1">
    <w:name w:val="Основной текст Знак"/>
    <w:basedOn w:val="704"/>
    <w:link w:val="874"/>
    <w:rPr>
      <w:rFonts w:ascii="Times New Roman" w:hAnsi="Times New Roman" w:eastAsia="Times New Roman" w:cs="Times New Roman"/>
      <w:b/>
      <w:bCs/>
      <w:caps/>
      <w:sz w:val="28"/>
      <w:szCs w:val="24"/>
      <w:lang w:eastAsia="ru-RU"/>
    </w:rPr>
  </w:style>
  <w:style w:type="character" w:styleId="876">
    <w:name w:val="annotation reference"/>
    <w:basedOn w:val="704"/>
    <w:uiPriority w:val="99"/>
    <w:semiHidden/>
    <w:unhideWhenUsed/>
    <w:rPr>
      <w:sz w:val="16"/>
      <w:szCs w:val="16"/>
    </w:rPr>
  </w:style>
  <w:style w:type="paragraph" w:styleId="877">
    <w:name w:val="annotation text"/>
    <w:basedOn w:val="694"/>
    <w:link w:val="878"/>
    <w:uiPriority w:val="99"/>
    <w:semiHidden/>
    <w:unhideWhenUsed/>
    <w:rPr>
      <w:sz w:val="20"/>
      <w:szCs w:val="20"/>
    </w:rPr>
  </w:style>
  <w:style w:type="character" w:styleId="878" w:customStyle="1">
    <w:name w:val="Текст примечания Знак"/>
    <w:basedOn w:val="704"/>
    <w:link w:val="877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79">
    <w:name w:val="annotation subject"/>
    <w:basedOn w:val="877"/>
    <w:next w:val="877"/>
    <w:link w:val="880"/>
    <w:uiPriority w:val="99"/>
    <w:semiHidden/>
    <w:unhideWhenUsed/>
    <w:rPr>
      <w:b/>
      <w:bCs/>
    </w:rPr>
  </w:style>
  <w:style w:type="character" w:styleId="880" w:customStyle="1">
    <w:name w:val="Тема примечания Знак"/>
    <w:basedOn w:val="878"/>
    <w:link w:val="879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table" w:styleId="881">
    <w:name w:val="Table Grid"/>
    <w:basedOn w:val="705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82" w:customStyle="1">
    <w:name w:val="Заголовок 1 Знак"/>
    <w:basedOn w:val="704"/>
    <w:link w:val="695"/>
    <w:rPr>
      <w:rFonts w:ascii="Times New Roman" w:hAnsi="Times New Roman" w:eastAsia="Times New Roman" w:cs="Times New Roman"/>
      <w:b/>
      <w:bCs/>
      <w:color w:val="000000"/>
      <w:spacing w:val="-4"/>
      <w:sz w:val="28"/>
      <w:szCs w:val="26"/>
      <w:shd w:val="clear" w:color="auto" w:fill="ffffff"/>
      <w:lang w:eastAsia="ru-RU"/>
    </w:rPr>
  </w:style>
  <w:style w:type="paragraph" w:styleId="883">
    <w:name w:val="Header"/>
    <w:basedOn w:val="694"/>
    <w:link w:val="88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84" w:customStyle="1">
    <w:name w:val="Верхний колонтитул Знак"/>
    <w:basedOn w:val="704"/>
    <w:link w:val="883"/>
    <w:uiPriority w:val="99"/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885">
    <w:name w:val="Footer"/>
    <w:basedOn w:val="694"/>
    <w:link w:val="88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86" w:customStyle="1">
    <w:name w:val="Нижний колонтитул Знак"/>
    <w:basedOn w:val="704"/>
    <w:link w:val="885"/>
    <w:uiPriority w:val="99"/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887" w:customStyle="1">
    <w:name w:val="Style5"/>
    <w:basedOn w:val="694"/>
    <w:pPr>
      <w:ind w:hanging="346"/>
      <w:spacing w:line="317" w:lineRule="exact"/>
      <w:widowControl w:val="off"/>
    </w:pPr>
    <w:rPr>
      <w:sz w:val="24"/>
    </w:rPr>
  </w:style>
  <w:style w:type="paragraph" w:styleId="888">
    <w:name w:val="No Spacing"/>
    <w:link w:val="889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89" w:customStyle="1">
    <w:name w:val="Без интервала Знак"/>
    <w:link w:val="888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90" w:customStyle="1">
    <w:name w:val="ConsNonforma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ourier New" w:hAnsi="Courier New" w:eastAsia="Arial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ar-SA" w:bidi="ar-SA"/>
      <w14:ligatures w14:val="none"/>
    </w:rPr>
  </w:style>
  <w:style w:type="character" w:styleId="891" w:customStyle="1">
    <w:name w:val="Emphasis"/>
    <w:uiPriority w:val="20"/>
    <w:qFormat/>
    <w:rPr>
      <w:i/>
      <w:iCs/>
    </w:rPr>
  </w:style>
  <w:style w:type="character" w:styleId="892" w:customStyle="1">
    <w:name w:val="Строгий"/>
    <w:basedOn w:val="858"/>
    <w:link w:val="856"/>
    <w:qFormat/>
    <w:rPr>
      <w:b/>
      <w:bCs/>
    </w:rPr>
  </w:style>
  <w:style w:type="paragraph" w:styleId="893" w:customStyle="1">
    <w:name w:val="Обычный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94" w:customStyle="1">
    <w:name w:val="Body Text Indent"/>
    <w:basedOn w:val="889"/>
    <w:pPr>
      <w:contextualSpacing w:val="0"/>
      <w:ind w:left="283" w:right="0" w:firstLine="0"/>
      <w:jc w:val="left"/>
      <w:keepLines w:val="0"/>
      <w:keepNext w:val="0"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customXml" Target="../customXml/item2.xml" /><Relationship Id="rId12" Type="http://schemas.openxmlformats.org/officeDocument/2006/relationships/customXml" Target="../customXml/item3.xml" /><Relationship Id="rId13" Type="http://schemas.openxmlformats.org/officeDocument/2006/relationships/customXml" Target="../customXml/item4.xml" /><Relationship Id="rId14" Type="http://schemas.openxmlformats.org/officeDocument/2006/relationships/hyperlink" Target="https://torgi.gov.ru/new/" TargetMode="External"/><Relationship Id="rId15" Type="http://schemas.openxmlformats.org/officeDocument/2006/relationships/hyperlink" Target="http://utp.sberbank-ast.ru" TargetMode="External"/><Relationship Id="rId16" Type="http://schemas.openxmlformats.org/officeDocument/2006/relationships/hyperlink" Target="https://oskolregion.gosuslugi.ru/" TargetMode="External"/><Relationship Id="rId17" Type="http://schemas.openxmlformats.org/officeDocument/2006/relationships/hyperlink" Target="mailto:dizo@so.belregion.ru," TargetMode="External"/><Relationship Id="rId18" Type="http://schemas.openxmlformats.org/officeDocument/2006/relationships/hyperlink" Target="mailto:445624@bk.ru" TargetMode="External"/><Relationship Id="rId19" Type="http://schemas.openxmlformats.org/officeDocument/2006/relationships/hyperlink" Target="http://utp.sberbank-ast.ru" TargetMode="External"/><Relationship Id="rId20" Type="http://schemas.openxmlformats.org/officeDocument/2006/relationships/hyperlink" Target="http://utp.sberbank-ast.ru" TargetMode="External"/><Relationship Id="rId21" Type="http://schemas.openxmlformats.org/officeDocument/2006/relationships/hyperlink" Target="http://utp.sberbank-ast.ru" TargetMode="External"/><Relationship Id="rId22" Type="http://schemas.openxmlformats.org/officeDocument/2006/relationships/hyperlink" Target="http://utp.sberbank-ast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EADF07AD177344B261F759F980E14F" ma:contentTypeVersion="8" ma:contentTypeDescription="Create a new document." ma:contentTypeScope="" ma:versionID="b17da19ae4c032dc3f8dacb4f0c8b791">
  <xsd:schema xmlns:xsd="http://www.w3.org/2001/XMLSchema" xmlns:xs="http://www.w3.org/2001/XMLSchema" xmlns:p="http://schemas.microsoft.com/office/2006/metadata/properties" xmlns:ns3="67a76d3d-6a60-49d3-aa84-6bf5e8df3f02" targetNamespace="http://schemas.microsoft.com/office/2006/metadata/properties" ma:root="true" ma:fieldsID="923ec4cfa93e629d4342711a59c1eabd" ns3:_="">
    <xsd:import namespace="67a76d3d-6a60-49d3-aa84-6bf5e8df3f0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76d3d-6a60-49d3-aa84-6bf5e8df3f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8AEE0-83E1-467E-A5E5-F7CF66FFE7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79065B-236E-405F-876E-E45A4590EA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D009CF-8014-48BF-86FE-47BE2ACF59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76d3d-6a60-49d3-aa84-6bf5e8df3f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54B16D-15A2-4888-906B-C554292DB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Татьяна Валерьевна</dc:creator>
  <cp:keywords/>
  <dc:description/>
  <cp:revision>31</cp:revision>
  <dcterms:created xsi:type="dcterms:W3CDTF">2025-05-18T10:46:00Z</dcterms:created>
  <dcterms:modified xsi:type="dcterms:W3CDTF">2026-04-28T06:52:49Z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0x01010087EADF07AD177344B261F759F980E14F</vt:lpwstr>
  </property>
</Properties>
</file>